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line="293" w:lineRule="auto"/>
        <w:jc w:val="center"/>
        <w:bidi w:val="1"/>
      </w:pPr>
      <w:r>
        <w:rPr>
          <w:rFonts w:ascii="Arial" w:hAnsi="Arial" w:cs="Arial"/>
          <w:b/>
          <w:color w:val="536B65"/>
          <w:sz w:val="21"/>
          <w:rtl/>
        </w:rPr>
        <w:t>טיוטה מס׳ 6 לעיון התושבים</w:t>
      </w:r>
    </w:p>
    <w:p>
      <w:pPr>
        <w:pStyle w:val="Title"/>
        <w:spacing w:before="0" w:after="240" w:line="293" w:lineRule="auto"/>
        <w:jc w:val="center"/>
        <w:bidi w:val="1"/>
      </w:pPr>
      <w:r>
        <w:rPr>
          <w:rFonts w:ascii="Arial" w:hAnsi="Arial" w:cs="Arial"/>
          <w:b/>
          <w:color w:val="000000"/>
          <w:sz w:val="44"/>
          <w:rtl/>
        </w:rPr>
        <w:t>פנייה דחופה לטיפול במפגע בטיחותי חמור בדרך בשכונת צופים צפון</w:t>
      </w:r>
    </w:p>
    <w:tbl>
      <w:tblPr>
        <w:tblW w:type="auto" w:w="0"/>
        <w:tblLayout w:type="fixed"/>
        <w:tblLook w:firstColumn="1" w:firstRow="1" w:lastColumn="0" w:lastRow="0" w:noHBand="0" w:noVBand="1" w:val="04A0"/>
        <w:bidiVisual w:val="1"/>
      </w:tblPr>
      <w:tblGrid>
        <w:gridCol w:w="4958"/>
        <w:gridCol w:w="4958"/>
      </w:tblGrid>
      <w:tr>
        <w:trPr>
          <w:cantSplit/>
        </w:trPr>
        <w:tc>
          <w:tcPr>
            <w:tcW w:type="dxa" w:w="1701"/>
            <w:vAlign w:val="center"/>
            <w:tcMar>
              <w:top w:w="85" w:type="dxa"/>
              <w:start w:w="100" w:type="dxa"/>
              <w:bottom w:w="85" w:type="dxa"/>
              <w:end w:w="100" w:type="dxa"/>
            </w:tcMar>
            <w:tcBorders>
              <w:bottom w:val="single" w:sz="4" w:color="C8D2CD"/>
            </w:tcBorders>
            <w:shd w:fill="EAF0EC"/>
          </w:tcPr>
          <w:p>
            <w:pPr>
              <w:spacing w:before="0" w:after="0" w:line="293" w:lineRule="auto"/>
              <w:jc w:val="right"/>
              <w:bidi w:val="1"/>
            </w:pPr>
            <w:r>
              <w:rPr>
                <w:rFonts w:ascii="Arial" w:hAnsi="Arial" w:cs="Arial"/>
                <w:b/>
                <w:color w:val="173F35"/>
                <w:sz w:val="21"/>
                <w:rtl/>
              </w:rPr>
              <w:t>תאריך</w:t>
            </w:r>
          </w:p>
        </w:tc>
        <w:tc>
          <w:tcPr>
            <w:tcW w:type="dxa" w:w="6690"/>
            <w:vAlign w:val="center"/>
            <w:tcMar>
              <w:top w:w="85" w:type="dxa"/>
              <w:start w:w="100" w:type="dxa"/>
              <w:bottom w:w="85" w:type="dxa"/>
              <w:end w:w="100" w:type="dxa"/>
            </w:tcMar>
            <w:tcBorders>
              <w:bottom w:val="single" w:sz="4" w:color="C8D2CD"/>
            </w:tcBorders>
          </w:tcPr>
          <w:p>
            <w:pPr>
              <w:spacing w:before="0" w:after="0" w:line="293" w:lineRule="auto"/>
              <w:jc w:val="right"/>
              <w:bidi w:val="1"/>
            </w:pPr>
            <w:r>
              <w:rPr>
                <w:rFonts w:ascii="Arial" w:hAnsi="Arial" w:cs="Arial"/>
                <w:sz w:val="21"/>
                <w:rtl/>
              </w:rPr>
              <w:t>________________</w:t>
            </w:r>
          </w:p>
        </w:tc>
      </w:tr>
      <w:tr>
        <w:trPr>
          <w:cantSplit/>
        </w:trPr>
        <w:tc>
          <w:tcPr>
            <w:tcW w:type="dxa" w:w="1701"/>
            <w:vAlign w:val="center"/>
            <w:tcMar>
              <w:top w:w="85" w:type="dxa"/>
              <w:start w:w="100" w:type="dxa"/>
              <w:bottom w:w="85" w:type="dxa"/>
              <w:end w:w="100" w:type="dxa"/>
            </w:tcMar>
            <w:tcBorders>
              <w:bottom w:val="single" w:sz="4" w:color="C8D2CD"/>
            </w:tcBorders>
            <w:shd w:fill="EAF0EC"/>
          </w:tcPr>
          <w:p>
            <w:pPr>
              <w:spacing w:before="0" w:after="0" w:line="293" w:lineRule="auto"/>
              <w:jc w:val="right"/>
              <w:bidi w:val="1"/>
            </w:pPr>
            <w:r>
              <w:rPr>
                <w:rFonts w:ascii="Arial" w:hAnsi="Arial" w:cs="Arial"/>
                <w:b/>
                <w:color w:val="173F35"/>
                <w:sz w:val="21"/>
                <w:rtl/>
              </w:rPr>
              <w:t>אל</w:t>
            </w:r>
          </w:p>
        </w:tc>
        <w:tc>
          <w:tcPr>
            <w:tcW w:type="dxa" w:w="6690"/>
            <w:vAlign w:val="center"/>
            <w:tcMar>
              <w:top w:w="85" w:type="dxa"/>
              <w:start w:w="100" w:type="dxa"/>
              <w:bottom w:w="85" w:type="dxa"/>
              <w:end w:w="100" w:type="dxa"/>
            </w:tcMar>
            <w:tcBorders>
              <w:bottom w:val="single" w:sz="4" w:color="C8D2CD"/>
            </w:tcBorders>
          </w:tcPr>
          <w:p>
            <w:pPr>
              <w:spacing w:before="0" w:after="0" w:line="293" w:lineRule="auto"/>
              <w:jc w:val="right"/>
              <w:bidi w:val="1"/>
            </w:pPr>
            <w:r>
              <w:rPr>
                <w:rFonts w:ascii="Arial" w:hAnsi="Arial" w:cs="Arial"/>
                <w:sz w:val="21"/>
                <w:rtl/>
              </w:rPr>
              <w:t>המועצה האזורית שומרון, אגף ההנדסה והממונה על הבטיחות בדרכים</w:t>
            </w:r>
          </w:p>
        </w:tc>
      </w:tr>
      <w:tr>
        <w:trPr>
          <w:cantSplit/>
        </w:trPr>
        <w:tc>
          <w:tcPr>
            <w:tcW w:type="dxa" w:w="1701"/>
            <w:vAlign w:val="center"/>
            <w:tcMar>
              <w:top w:w="85" w:type="dxa"/>
              <w:start w:w="100" w:type="dxa"/>
              <w:bottom w:w="85" w:type="dxa"/>
              <w:end w:w="100" w:type="dxa"/>
            </w:tcMar>
            <w:tcBorders>
              <w:bottom w:val="single" w:sz="4" w:color="C8D2CD"/>
            </w:tcBorders>
            <w:shd w:fill="EAF0EC"/>
          </w:tcPr>
          <w:p>
            <w:pPr>
              <w:spacing w:before="0" w:after="0" w:line="293" w:lineRule="auto"/>
              <w:jc w:val="right"/>
              <w:bidi w:val="1"/>
            </w:pPr>
            <w:r>
              <w:rPr>
                <w:rFonts w:ascii="Arial" w:hAnsi="Arial" w:cs="Arial"/>
                <w:b/>
                <w:color w:val="173F35"/>
                <w:sz w:val="21"/>
                <w:rtl/>
              </w:rPr>
              <w:t>העתק</w:t>
            </w:r>
          </w:p>
        </w:tc>
        <w:tc>
          <w:tcPr>
            <w:tcW w:type="dxa" w:w="6690"/>
            <w:vAlign w:val="center"/>
            <w:tcMar>
              <w:top w:w="85" w:type="dxa"/>
              <w:start w:w="100" w:type="dxa"/>
              <w:bottom w:w="85" w:type="dxa"/>
              <w:end w:w="100" w:type="dxa"/>
            </w:tcMar>
            <w:tcBorders>
              <w:bottom w:val="single" w:sz="4" w:color="C8D2CD"/>
            </w:tcBorders>
          </w:tcPr>
          <w:p>
            <w:pPr>
              <w:spacing w:before="0" w:after="0" w:line="293" w:lineRule="auto"/>
              <w:jc w:val="right"/>
              <w:bidi w:val="1"/>
            </w:pPr>
            <w:r>
              <w:rPr>
                <w:rFonts w:ascii="Arial" w:hAnsi="Arial" w:cs="Arial"/>
                <w:sz w:val="21"/>
                <w:rtl/>
              </w:rPr>
              <w:t>הוועד המקומי צופים, מזכירות היישוב צופים ופניות הציבור</w:t>
            </w:r>
          </w:p>
        </w:tc>
      </w:tr>
      <w:tr>
        <w:trPr>
          <w:cantSplit/>
        </w:trPr>
        <w:tc>
          <w:tcPr>
            <w:tcW w:type="dxa" w:w="1701"/>
            <w:vAlign w:val="center"/>
            <w:tcMar>
              <w:top w:w="85" w:type="dxa"/>
              <w:start w:w="100" w:type="dxa"/>
              <w:bottom w:w="85" w:type="dxa"/>
              <w:end w:w="100" w:type="dxa"/>
            </w:tcMar>
            <w:tcBorders>
              <w:bottom w:val="single" w:sz="4" w:color="C8D2CD"/>
            </w:tcBorders>
            <w:shd w:fill="EAF0EC"/>
          </w:tcPr>
          <w:p>
            <w:pPr>
              <w:spacing w:before="0" w:after="0" w:line="293" w:lineRule="auto"/>
              <w:jc w:val="right"/>
              <w:bidi w:val="1"/>
            </w:pPr>
            <w:r>
              <w:rPr>
                <w:rFonts w:ascii="Arial" w:hAnsi="Arial" w:cs="Arial"/>
                <w:b/>
                <w:color w:val="173F35"/>
                <w:sz w:val="21"/>
                <w:rtl/>
              </w:rPr>
              <w:t>מאת</w:t>
            </w:r>
          </w:p>
        </w:tc>
        <w:tc>
          <w:tcPr>
            <w:tcW w:type="dxa" w:w="6690"/>
            <w:vAlign w:val="center"/>
            <w:tcMar>
              <w:top w:w="85" w:type="dxa"/>
              <w:start w:w="100" w:type="dxa"/>
              <w:bottom w:w="85" w:type="dxa"/>
              <w:end w:w="100" w:type="dxa"/>
            </w:tcMar>
            <w:tcBorders>
              <w:bottom w:val="single" w:sz="4" w:color="C8D2CD"/>
            </w:tcBorders>
          </w:tcPr>
          <w:p>
            <w:pPr>
              <w:spacing w:before="0" w:after="0" w:line="293" w:lineRule="auto"/>
              <w:jc w:val="right"/>
              <w:bidi w:val="1"/>
            </w:pPr>
            <w:r>
              <w:rPr>
                <w:rFonts w:ascii="Arial" w:hAnsi="Arial" w:cs="Arial"/>
                <w:sz w:val="21"/>
                <w:rtl/>
              </w:rPr>
              <w:t>תושבים ובעלי נכסים בצופים צפון החתומים על פנייה זו</w:t>
            </w:r>
          </w:p>
        </w:tc>
      </w:tr>
    </w:tbl>
    <w:p>
      <w:pPr>
        <w:spacing w:after="20"/>
      </w:pPr>
    </w:p>
    <w:p>
      <w:pPr>
        <w:spacing w:before="0" w:after="180" w:line="293" w:lineRule="auto"/>
        <w:jc w:val="both"/>
        <w:keepNext w:val="0"/>
        <w:bidi w:val="1"/>
      </w:pPr>
      <w:r>
        <w:rPr>
          <w:rFonts w:ascii="Arial" w:hAnsi="Arial" w:cs="Arial"/>
          <w:b/>
          <w:color w:val="000000"/>
          <w:sz w:val="24"/>
          <w:rtl/>
        </w:rPr>
        <w:t>אנו, תושבים ובעלי נכסים בצופים צפון החתומים על פנייה זו, מבקשים לבצע בדיקה מקצועית ולטפל בדחיפות בקטע דרך משובש המשמש את תושבי השכונה וגורמים נוספים ומהווה מפגע בטיחותי חמור.</w:t>
      </w:r>
    </w:p>
    <w:p>
      <w:pPr>
        <w:pStyle w:val="Heading1"/>
        <w:spacing w:before="200" w:after="100" w:line="293" w:lineRule="auto"/>
        <w:jc w:val="right"/>
        <w:keepNext/>
        <w:bidi w:val="1"/>
      </w:pPr>
      <w:r>
        <w:rPr>
          <w:rFonts w:ascii="Arial" w:hAnsi="Arial" w:cs="Arial"/>
          <w:b/>
          <w:color w:val="000000"/>
          <w:sz w:val="28"/>
          <w:rtl/>
        </w:rPr>
        <w:t>תיאור קטע הדרך</w:t>
      </w:r>
    </w:p>
    <w:p>
      <w:pPr>
        <w:spacing w:before="0" w:after="140" w:line="293" w:lineRule="auto"/>
        <w:jc w:val="both"/>
        <w:keepNext w:val="0"/>
        <w:bidi w:val="1"/>
      </w:pPr>
      <w:r>
        <w:rPr>
          <w:rFonts w:ascii="Arial" w:hAnsi="Arial" w:cs="Arial"/>
          <w:b w:val="0"/>
          <w:color w:val="000000"/>
          <w:sz w:val="23"/>
          <w:rtl/>
        </w:rPr>
        <w:t>מדובר בקטע דרך קצר שאורכו כ־15 מטרים. הקטע משמש מעבר הכרחי לכמחצית מתושבי השכונה ולאורחיהם, העוברים בו בכלי רכב וברגל, וכן למעבר קבוע של רכבי הסעות ילדים. רוחב הקטע מאפשר מעבר של שני כלי רכב בקושי, ואינו מאפשר מעבר בטוח של שני כלי רכב לצד הולכי רגל. אין במקום מדרכה או הפרדה בין כלי רכב להולכי רגל. הקטע מצוי בשיפוע, כך שבאחד מכיווני הנסיעה עוברים בו בירידה, ופני הדרך כוללים בורות, שברים והפרשי גובה.</w:t>
      </w:r>
    </w:p>
    <w:p>
      <w:pPr>
        <w:spacing w:before="0" w:after="140" w:line="293" w:lineRule="auto"/>
        <w:jc w:val="both"/>
        <w:keepNext w:val="0"/>
        <w:bidi w:val="1"/>
      </w:pPr>
      <w:r>
        <w:rPr>
          <w:rFonts w:ascii="Arial" w:hAnsi="Arial" w:cs="Arial"/>
          <w:b w:val="0"/>
          <w:color w:val="000000"/>
          <w:sz w:val="23"/>
          <w:rtl/>
        </w:rPr>
        <w:t>קטע הדרך משמש גם גישה ברכב וברגל אל המיגונית השכונתית. נוסף על כך, הוא משמש למעבר נותני שירות וגורמי תחזוקה המגיעים מטעם המועצה האזורית, היישוב או מי מטעמם, לרבות, לפי הידוע לתושבים, גורמים המטפלים במתקן השפכים של היישוב הנמצא בסמוך לשכונה.</w:t>
      </w:r>
    </w:p>
    <w:p>
      <w:pPr>
        <w:pStyle w:val="Heading1"/>
        <w:spacing w:before="200" w:after="100" w:line="293" w:lineRule="auto"/>
        <w:jc w:val="right"/>
        <w:keepNext/>
        <w:bidi w:val="1"/>
      </w:pPr>
      <w:r>
        <w:rPr>
          <w:rFonts w:ascii="Arial" w:hAnsi="Arial" w:cs="Arial"/>
          <w:b/>
          <w:color w:val="000000"/>
          <w:sz w:val="28"/>
          <w:rtl/>
        </w:rPr>
        <w:t>הסיכון הבטיחותי</w:t>
      </w:r>
    </w:p>
    <w:p>
      <w:pPr>
        <w:spacing w:before="0" w:after="140" w:line="293" w:lineRule="auto"/>
        <w:jc w:val="both"/>
        <w:keepNext w:val="0"/>
        <w:bidi w:val="1"/>
      </w:pPr>
      <w:r>
        <w:rPr>
          <w:rFonts w:ascii="Arial" w:hAnsi="Arial" w:cs="Arial"/>
          <w:b w:val="0"/>
          <w:color w:val="000000"/>
          <w:sz w:val="23"/>
          <w:rtl/>
        </w:rPr>
        <w:t>מצב הדרך מעלה חשש ממשי לבטיחות המשתמשים בה. השיפוע, יחד עם הבורות, השברים והפרשי הגובה, עלול להקשות על האטה, על בלימת חירום ועל ביצוע תמרון בטוח כאשר ילדים, הולכי רגל או רכב נוסף מופיעים בדרך. עד לאחרונה ניתן היה לעבור במקום ברכב באופן סביר, אך ההידרדרות במצב פני הדרך הפכה את הקטע למפגע בטיחותי ממשי. הגשמים הצפויים בחורף עלולים להחמיר הן את מצב הדרך והן את תנאי האחיזה והבלימה. הסיכון מחמיר בשל השילוב בין הירידה, הדרך הצרה, העדר מדרכה והשימוש הקבוע בקטע כמעבר הכרחי.</w:t>
      </w:r>
    </w:p>
    <w:p>
      <w:pPr>
        <w:spacing w:before="0" w:after="140" w:line="293" w:lineRule="auto"/>
        <w:jc w:val="both"/>
        <w:keepNext w:val="0"/>
        <w:bidi w:val="1"/>
      </w:pPr>
      <w:r>
        <w:rPr>
          <w:rFonts w:ascii="Arial" w:hAnsi="Arial" w:cs="Arial"/>
          <w:b w:val="0"/>
          <w:color w:val="000000"/>
          <w:sz w:val="23"/>
          <w:rtl/>
        </w:rPr>
        <w:t>מעברם הקבוע של רכבי הסעות ילדים במקום מחייב התייחסות מיוחדת בבדיקה המקצועית, הן בשל הטלטול הנגרם על פני הדרך הפגומים והן בשל מרחב התמרון והבלימה המצומצם. אין בפנייה זו לקבוע מסקנה הנדסית מראש, אלא להצביע על צורך בבדיקה דחופה של הסיכון לילדים וליתר המשתמשים בדרך.</w:t>
      </w:r>
    </w:p>
    <w:p>
      <w:pPr>
        <w:spacing w:before="80" w:after="180" w:line="293" w:lineRule="auto"/>
        <w:jc w:val="both"/>
        <w:keepNext w:val="0"/>
        <w:bidi w:val="1"/>
      </w:pPr>
      <w:r>
        <w:rPr>
          <w:rFonts w:ascii="Arial" w:hAnsi="Arial" w:cs="Arial"/>
          <w:b/>
          <w:color w:val="000000"/>
          <w:sz w:val="23"/>
          <w:rtl/>
        </w:rPr>
        <w:t>במצב חירום, כאשר קטע הדרך משמש מעבר הכרחי אל המיגונית, מצבו המשובש עלול לעכב את התנועה ולסכן את העוברים בו ברכב וברגל. מדובר בסיכון ממשי לחיי אדם.</w:t>
      </w:r>
    </w:p>
    <w:p>
      <w:pPr>
        <w:pStyle w:val="Heading1"/>
        <w:spacing w:before="200" w:after="100" w:line="293" w:lineRule="auto"/>
        <w:jc w:val="right"/>
        <w:keepNext/>
        <w:bidi w:val="1"/>
      </w:pPr>
      <w:r>
        <w:rPr>
          <w:rFonts w:ascii="Arial" w:hAnsi="Arial" w:cs="Arial"/>
          <w:b/>
          <w:color w:val="000000"/>
          <w:sz w:val="28"/>
          <w:rtl/>
        </w:rPr>
        <w:t>ארנונה, סמכות ואחריות לטיפול</w:t>
      </w:r>
    </w:p>
    <w:p>
      <w:pPr>
        <w:spacing w:before="0" w:after="140" w:line="293" w:lineRule="auto"/>
        <w:jc w:val="both"/>
        <w:keepNext w:val="0"/>
        <w:bidi w:val="1"/>
      </w:pPr>
      <w:r>
        <w:rPr>
          <w:rFonts w:ascii="Arial" w:hAnsi="Arial" w:cs="Arial"/>
          <w:b w:val="0"/>
          <w:color w:val="000000"/>
          <w:sz w:val="23"/>
          <w:rtl/>
        </w:rPr>
        <w:t>כלל בתי האב בשכונה מחויבים בארנונה ומשלמים אותה למועצה האזורית שומרון. ארנונה היא מס כללי, ולכן עצם תשלומה אינו קובע כנגד איזה שירות מסוים הוא נגבה ואינו מכריע לבדו את חלוקת האחריות. עם זאת, לא נמסר לתושבים מיהו הגורם האחראי לבדיקה, לתחזוקה ולתיקון של קטע הדרך. לנוכח הסיכון המתואר, אנו מבקשים מן המועצה לפעול ללא דיחוי לבדיקת המפגע ולקידום הטיפול בו. ככל שנדרש תיאום עם הוועד המקומי או עם גורם אחר, נבקש כי המועצה תרכז את הבירור והתיאום ותעדכן אותנו בזהות הגורם המטפל ובלוח הזמנים לביצוע.</w:t>
      </w:r>
    </w:p>
    <w:p>
      <w:pPr>
        <w:spacing w:before="80" w:after="80" w:line="293" w:lineRule="auto"/>
        <w:jc w:val="both"/>
        <w:keepNext w:val="0"/>
        <w:bidi w:val="1"/>
      </w:pPr>
      <w:r>
        <w:rPr>
          <w:rFonts w:ascii="Arial" w:hAnsi="Arial" w:cs="Arial"/>
          <w:b/>
          <w:color w:val="000000"/>
          <w:sz w:val="23"/>
          <w:rtl/>
        </w:rPr>
        <w:t>סעיף 57(א)(5) לתקנון המועצות האזוריות (יהודה והשומרון), התשל״ט–1979, מסמיך את המועצה "לעשות כל דבר הדרוש לבטיחותו של הציבור, בריאותו ושמירת הסדר הציבורי"; וסעיף 57(א)(8) מסמיך אותה לנקוט אמצעים לשמירה על בריאות הציבור וביטחונו, לסלק מפגעים ולמנוע תקלות. סעיף 57(א)(13) עוסק גם בהכנת המשק ובהפעלתו בשעת חירום, לרבות הסדרת שירותים חיוניים.</w:t>
      </w:r>
    </w:p>
    <w:p>
      <w:pPr>
        <w:spacing w:before="40" w:after="80" w:line="293" w:lineRule="auto"/>
        <w:jc w:val="both"/>
        <w:keepNext w:val="0"/>
        <w:bidi w:val="1"/>
      </w:pPr>
      <w:r>
        <w:rPr>
          <w:rFonts w:ascii="Arial" w:hAnsi="Arial" w:cs="Arial"/>
          <w:b w:val="0"/>
          <w:color w:val="000000"/>
          <w:sz w:val="23"/>
          <w:rtl/>
        </w:rPr>
        <w:t>דוח מבקר המדינה מסכם כי כאשר מדובר בדרך ציבורית המצויה באחריותה של רשות מקומית, הפסיקה מחייבת אותה לנקוט אמצעי זהירות סבירים כדי למנוע נזק למשתמשים בדרך. עצם הימצאותו של קטע הדרך בתחום השיפוט אינה מכריעה כשלעצמה את סיווגו כדרך ציבורית. לכן מתבקשת המועצה לברר ולקבוע בכתב את מעמד הקטע ואת זהות הגורם האחראי, ולא להותיר את הסיכון ללא מענה בשל אי־בהירות בדבר חלוקת האחריות. ככל שהסמכות הועברה לוועד המקומי, נבקש להפנות להחלטת האצילה ולזהות הגורם המטפל, בהתאם לסעיף 112 לתקנון.</w:t>
      </w:r>
    </w:p>
    <w:p>
      <w:pPr>
        <w:spacing w:before="0" w:after="160" w:line="293" w:lineRule="auto"/>
        <w:jc w:val="both"/>
        <w:keepNext w:val="0"/>
        <w:bidi w:val="1"/>
      </w:pPr>
      <w:r>
        <w:rPr>
          <w:rFonts w:ascii="Arial" w:hAnsi="Arial" w:cs="Arial"/>
          <w:b w:val="0"/>
          <w:color w:val="536B65"/>
          <w:sz w:val="17"/>
          <w:rtl/>
        </w:rPr>
        <w:t>מקורות: תקנון המועצות האזוריות (יהודה והשומרון), סעיף 57(א)(5), (8), (13) וסעיף 112; דוח מבקר המדינה, תחזוקת דרכים על ידי רשויות מקומיות (2023), עמ׳ 1314 והפסיקה הנזכרת שם.</w:t>
      </w:r>
    </w:p>
    <w:p>
      <w:pPr>
        <w:pStyle w:val="Heading1"/>
        <w:spacing w:before="200" w:after="100" w:line="293" w:lineRule="auto"/>
        <w:jc w:val="right"/>
        <w:keepNext/>
        <w:bidi w:val="1"/>
      </w:pPr>
      <w:r>
        <w:rPr>
          <w:rFonts w:ascii="Arial" w:hAnsi="Arial" w:cs="Arial"/>
          <w:b/>
          <w:color w:val="000000"/>
          <w:sz w:val="28"/>
          <w:rtl/>
        </w:rPr>
        <w:t>הבקשות</w:t>
      </w:r>
    </w:p>
    <w:p>
      <w:pPr>
        <w:spacing w:before="0" w:after="100" w:line="293" w:lineRule="auto"/>
        <w:ind w:left="113" w:right="198"/>
        <w:jc w:val="both"/>
        <w:bidi w:val="1"/>
      </w:pPr>
      <w:r>
        <w:rPr>
          <w:rFonts w:ascii="Arial" w:hAnsi="Arial" w:cs="Arial"/>
          <w:b/>
          <w:color w:val="173F35"/>
          <w:sz w:val="23"/>
          <w:rtl/>
        </w:rPr>
        <w:t xml:space="preserve">1. </w:t>
      </w:r>
      <w:r>
        <w:rPr>
          <w:rFonts w:ascii="Arial" w:hAnsi="Arial" w:cs="Arial"/>
          <w:sz w:val="23"/>
          <w:rtl/>
        </w:rPr>
        <w:t>לבצע בהקדם בדיקה בשטח באמצעות מהנדס או גורם מקצועי בתחום הבטיחות בדרכים, לרבות מדידת רוחב הקטע ושיפועו ובחינת מצב המיסעה.</w:t>
      </w:r>
    </w:p>
    <w:p>
      <w:pPr>
        <w:spacing w:before="0" w:after="100" w:line="293" w:lineRule="auto"/>
        <w:ind w:left="113" w:right="198"/>
        <w:jc w:val="both"/>
        <w:bidi w:val="1"/>
      </w:pPr>
      <w:r>
        <w:rPr>
          <w:rFonts w:ascii="Arial" w:hAnsi="Arial" w:cs="Arial"/>
          <w:b/>
          <w:color w:val="173F35"/>
          <w:sz w:val="23"/>
          <w:rtl/>
        </w:rPr>
        <w:t xml:space="preserve">2. </w:t>
      </w:r>
      <w:r>
        <w:rPr>
          <w:rFonts w:ascii="Arial" w:hAnsi="Arial" w:cs="Arial"/>
          <w:sz w:val="23"/>
          <w:rtl/>
        </w:rPr>
        <w:t>לבחון אמצעי בטיחות זמניים עד להסדרת המפגע, ככל שהבדיקה המקצועית תמצא שהם נדרשים.</w:t>
      </w:r>
    </w:p>
    <w:p>
      <w:pPr>
        <w:spacing w:before="0" w:after="100" w:line="293" w:lineRule="auto"/>
        <w:ind w:left="113" w:right="198"/>
        <w:jc w:val="both"/>
        <w:bidi w:val="1"/>
      </w:pPr>
      <w:r>
        <w:rPr>
          <w:rFonts w:ascii="Arial" w:hAnsi="Arial" w:cs="Arial"/>
          <w:b/>
          <w:color w:val="173F35"/>
          <w:sz w:val="23"/>
          <w:rtl/>
        </w:rPr>
        <w:t xml:space="preserve">3. </w:t>
      </w:r>
      <w:r>
        <w:rPr>
          <w:rFonts w:ascii="Arial" w:hAnsi="Arial" w:cs="Arial"/>
          <w:sz w:val="23"/>
          <w:rtl/>
        </w:rPr>
        <w:t>לגבש, על בסיס הבדיקה המקצועית, פתרון מתאים לתיקון פני הדרך ולעדכן אותנו בלוח הזמנים לביצועו.</w:t>
      </w:r>
    </w:p>
    <w:p>
      <w:pPr>
        <w:spacing w:before="0" w:after="100" w:line="293" w:lineRule="auto"/>
        <w:ind w:left="113" w:right="198"/>
        <w:jc w:val="both"/>
        <w:bidi w:val="1"/>
      </w:pPr>
      <w:r>
        <w:rPr>
          <w:rFonts w:ascii="Arial" w:hAnsi="Arial" w:cs="Arial"/>
          <w:b/>
          <w:color w:val="173F35"/>
          <w:sz w:val="23"/>
          <w:rtl/>
        </w:rPr>
        <w:t xml:space="preserve">4. </w:t>
      </w:r>
      <w:r>
        <w:rPr>
          <w:rFonts w:ascii="Arial" w:hAnsi="Arial" w:cs="Arial"/>
          <w:sz w:val="23"/>
          <w:rtl/>
        </w:rPr>
        <w:t>להודיע בכתב מהו מעמדו של קטע הדרך ומיהו הגורם האחראי לטיפול בו; אם האחריות הועברה לוועד המקומי או לגורם אחר, לציין את מקור ההסמכה או האצילה ואת פרטי הגורם המטפל.</w:t>
      </w:r>
    </w:p>
    <w:p>
      <w:pPr>
        <w:spacing w:before="0" w:after="100" w:line="293" w:lineRule="auto"/>
        <w:ind w:left="113" w:right="198"/>
        <w:jc w:val="both"/>
        <w:bidi w:val="1"/>
      </w:pPr>
      <w:r>
        <w:rPr>
          <w:rFonts w:ascii="Arial" w:hAnsi="Arial" w:cs="Arial"/>
          <w:b/>
          <w:color w:val="173F35"/>
          <w:sz w:val="23"/>
          <w:rtl/>
        </w:rPr>
        <w:t xml:space="preserve">5. </w:t>
      </w:r>
      <w:r>
        <w:rPr>
          <w:rFonts w:ascii="Arial" w:hAnsi="Arial" w:cs="Arial"/>
          <w:sz w:val="23"/>
          <w:rtl/>
        </w:rPr>
        <w:t>אם הטיפול אינו מצוי בסמכות הגורם שאליו הועברה הפנייה, להעבירה ללא דיחוי לגורם המוסמך ולעדכן אותנו על כך בכתב.</w:t>
      </w:r>
    </w:p>
    <w:p>
      <w:pPr>
        <w:spacing w:before="0" w:after="100" w:line="293" w:lineRule="auto"/>
        <w:ind w:left="113" w:right="198"/>
        <w:jc w:val="both"/>
        <w:bidi w:val="1"/>
      </w:pPr>
      <w:r>
        <w:rPr>
          <w:rFonts w:ascii="Arial" w:hAnsi="Arial" w:cs="Arial"/>
          <w:b/>
          <w:color w:val="173F35"/>
          <w:sz w:val="23"/>
          <w:rtl/>
        </w:rPr>
        <w:t xml:space="preserve">6. </w:t>
      </w:r>
      <w:r>
        <w:rPr>
          <w:rFonts w:ascii="Arial" w:hAnsi="Arial" w:cs="Arial"/>
          <w:sz w:val="23"/>
          <w:rtl/>
        </w:rPr>
        <w:t>לאשר בתוך 14 ימים את קבלת הפנייה ולמסור עדכון ראשוני בדבר זהות הגורם המטפל ומועד הבדיקה המתוכנן בשטח, ובהמשך למסור תשובה עניינית ומלאה בהתאם להוראות הדין.</w:t>
      </w:r>
    </w:p>
    <w:p>
      <w:pPr>
        <w:spacing w:before="320" w:after="200" w:line="293" w:lineRule="auto"/>
        <w:jc w:val="both"/>
        <w:keepNext w:val="0"/>
        <w:bidi w:val="1"/>
      </w:pPr>
      <w:r>
        <w:rPr>
          <w:rFonts w:ascii="Arial" w:hAnsi="Arial" w:cs="Arial"/>
          <w:b/>
          <w:color w:val="000000"/>
          <w:sz w:val="23"/>
          <w:rtl/>
        </w:rPr>
        <w:t>פנייה זו נועדה להביא לטיפול במפגע לפני שתיגרם פגיעה בגוף או בנפש. היא מוגשת מבלי לגרוע מכל טענה בדבר אחריות הגורמים הנוגעים בדבר או מזכויות התושבים ובעלי הנכסים.</w:t>
      </w:r>
    </w:p>
    <w:p>
      <w:pPr>
        <w:spacing w:before="0" w:after="60" w:line="293" w:lineRule="auto"/>
        <w:jc w:val="both"/>
        <w:keepNext w:val="0"/>
        <w:bidi w:val="1"/>
      </w:pPr>
      <w:r>
        <w:rPr>
          <w:rFonts w:ascii="Arial" w:hAnsi="Arial" w:cs="Arial"/>
          <w:b w:val="0"/>
          <w:color w:val="000000"/>
          <w:sz w:val="23"/>
          <w:rtl/>
        </w:rPr>
        <w:t>בברכה</w:t>
      </w:r>
    </w:p>
    <w:p>
      <w:pPr>
        <w:spacing w:before="0" w:after="200" w:line="293" w:lineRule="auto"/>
        <w:jc w:val="both"/>
        <w:keepNext w:val="0"/>
        <w:bidi w:val="1"/>
      </w:pPr>
      <w:r>
        <w:rPr>
          <w:rFonts w:ascii="Arial" w:hAnsi="Arial" w:cs="Arial"/>
          <w:b/>
          <w:color w:val="000000"/>
          <w:sz w:val="23"/>
          <w:rtl/>
        </w:rPr>
        <w:t>התושבים ובעלי הנכסים החתומים בנספח</w:t>
      </w:r>
    </w:p>
    <w:p>
      <w:pPr>
        <w:spacing w:before="0" w:after="80" w:line="293" w:lineRule="auto"/>
        <w:jc w:val="right"/>
        <w:keepNext w:val="0"/>
        <w:bidi w:val="1"/>
      </w:pPr>
      <w:r>
        <w:rPr>
          <w:rFonts w:ascii="Arial" w:hAnsi="Arial" w:cs="Arial"/>
          <w:b w:val="0"/>
          <w:color w:val="536B65"/>
          <w:sz w:val="21"/>
          <w:rtl/>
        </w:rPr>
        <w:t>איש קשר מטעם הפונים  ____________________     טלפון  ____________________</w:t>
      </w:r>
    </w:p>
    <w:p>
      <w:pPr>
        <w:spacing w:before="0" w:after="80" w:line="293" w:lineRule="auto"/>
        <w:jc w:val="right"/>
        <w:keepNext w:val="0"/>
        <w:bidi w:val="1"/>
      </w:pPr>
      <w:r>
        <w:rPr>
          <w:rFonts w:ascii="Arial" w:hAnsi="Arial" w:cs="Arial"/>
          <w:b w:val="0"/>
          <w:color w:val="536B65"/>
          <w:sz w:val="21"/>
          <w:rtl/>
        </w:rPr>
        <w:t>דואר אלקטרוני למענה  ____________________</w:t>
      </w:r>
    </w:p>
    <w:p>
      <w:pPr>
        <w:spacing w:before="0" w:after="80" w:line="293" w:lineRule="auto"/>
        <w:jc w:val="right"/>
        <w:keepNext w:val="0"/>
        <w:bidi w:val="1"/>
      </w:pPr>
      <w:r>
        <w:rPr>
          <w:rFonts w:ascii="Arial" w:hAnsi="Arial" w:cs="Arial"/>
          <w:b w:val="0"/>
          <w:color w:val="536B65"/>
          <w:sz w:val="21"/>
          <w:rtl/>
        </w:rPr>
        <w:t>מען למשלוח דואר, אם נדרש  ת״ד ________  צופים  מיקוד ________</w:t>
      </w:r>
    </w:p>
    <w:p>
      <w:pPr>
        <w:pStyle w:val="Heading1"/>
        <w:spacing w:before="200" w:after="100" w:line="293" w:lineRule="auto"/>
        <w:jc w:val="right"/>
        <w:keepNext/>
        <w:bidi w:val="1"/>
      </w:pPr>
      <w:r>
        <w:rPr>
          <w:rFonts w:ascii="Arial" w:hAnsi="Arial" w:cs="Arial"/>
          <w:b/>
          <w:color w:val="000000"/>
          <w:sz w:val="28"/>
          <w:rtl/>
        </w:rPr>
        <w:t>נספח א תיעוד קטע הדרך</w:t>
      </w:r>
    </w:p>
    <w:p>
      <w:pPr>
        <w:spacing w:before="0" w:after="160" w:line="293" w:lineRule="auto"/>
        <w:jc w:val="both"/>
        <w:keepNext w:val="0"/>
        <w:bidi w:val="1"/>
      </w:pPr>
      <w:r>
        <w:rPr>
          <w:rFonts w:ascii="Arial" w:hAnsi="Arial" w:cs="Arial"/>
          <w:b w:val="0"/>
          <w:color w:val="536B65"/>
          <w:sz w:val="21"/>
          <w:rtl/>
        </w:rPr>
        <w:t>התצלום מציג את מצב פני הדרך בעת התיעוד. הוא מצורף לצורך המחשת המפגע ואינו מחליף בדיקה הנדסית או בטיחותית בשטח.</w:t>
      </w:r>
    </w:p>
    <w:p>
      <w:pPr>
        <w:keepNext/>
        <w:jc w:val="center"/>
      </w:pPr>
      <w:r>
        <w:drawing>
          <wp:inline xmlns:a="http://schemas.openxmlformats.org/drawingml/2006/main" xmlns:pic="http://schemas.openxmlformats.org/drawingml/2006/picture">
            <wp:extent cx="4572000" cy="6096000"/>
            <wp:docPr id="1" name="Picture 1"/>
            <wp:cNvGraphicFramePr>
              <a:graphicFrameLocks noChangeAspect="1"/>
            </wp:cNvGraphicFramePr>
            <a:graphic>
              <a:graphicData uri="http://schemas.openxmlformats.org/drawingml/2006/picture">
                <pic:pic>
                  <pic:nvPicPr>
                    <pic:cNvPr id="0" name="damaged-road.png"/>
                    <pic:cNvPicPr/>
                  </pic:nvPicPr>
                  <pic:blipFill>
                    <a:blip r:embed="rId10"/>
                    <a:stretch>
                      <a:fillRect/>
                    </a:stretch>
                  </pic:blipFill>
                  <pic:spPr>
                    <a:xfrm>
                      <a:off x="0" y="0"/>
                      <a:ext cx="4572000" cy="6096000"/>
                    </a:xfrm>
                    <a:prstGeom prst="rect"/>
                  </pic:spPr>
                </pic:pic>
              </a:graphicData>
            </a:graphic>
          </wp:inline>
        </w:drawing>
      </w:r>
    </w:p>
    <w:p>
      <w:pPr>
        <w:spacing w:before="100" w:after="100" w:line="293" w:lineRule="auto"/>
        <w:jc w:val="center"/>
        <w:bidi w:val="1"/>
      </w:pPr>
      <w:r>
        <w:rPr>
          <w:rFonts w:ascii="Arial" w:hAnsi="Arial" w:cs="Arial"/>
          <w:b/>
          <w:color w:val="536B65"/>
          <w:sz w:val="19"/>
          <w:rtl/>
        </w:rPr>
        <w:t>קטע הדרך המשובש בצופים צפון</w:t>
      </w:r>
    </w:p>
    <w:p>
      <w:pPr>
        <w:sectPr>
          <w:footerReference w:type="default" r:id="rId9"/>
          <w:pgSz w:w="12240" w:h="15840"/>
          <w:pgMar w:top="935" w:right="1162" w:bottom="879" w:left="1162" w:header="369" w:footer="369" w:gutter="0"/>
          <w:cols w:space="720"/>
          <w:docGrid w:linePitch="360"/>
        </w:sectPr>
      </w:pPr>
    </w:p>
    <w:p>
      <w:pPr>
        <w:pStyle w:val="Heading1"/>
        <w:spacing w:before="200" w:after="100" w:line="293" w:lineRule="auto"/>
        <w:jc w:val="right"/>
        <w:keepNext/>
        <w:bidi w:val="1"/>
      </w:pPr>
      <w:r>
        <w:rPr>
          <w:rFonts w:ascii="Arial" w:hAnsi="Arial" w:cs="Arial"/>
          <w:b/>
          <w:color w:val="000000"/>
          <w:sz w:val="28"/>
          <w:rtl/>
        </w:rPr>
        <w:t>נספח ב רשימת החותמים</w:t>
      </w:r>
    </w:p>
    <w:p>
      <w:pPr>
        <w:spacing w:before="0" w:after="140" w:line="293" w:lineRule="auto"/>
        <w:jc w:val="both"/>
        <w:keepNext w:val="0"/>
        <w:bidi w:val="1"/>
      </w:pPr>
      <w:r>
        <w:rPr>
          <w:rFonts w:ascii="Arial" w:hAnsi="Arial" w:cs="Arial"/>
          <w:b w:val="0"/>
          <w:color w:val="536B65"/>
          <w:sz w:val="21"/>
          <w:rtl/>
        </w:rPr>
        <w:t>בחתימתי אני מאשר או מאשרת כי קראתי את הפנייה וכי אני מבקש או מבקשת להצטרף אליה.</w:t>
      </w:r>
    </w:p>
    <w:tbl>
      <w:tblPr>
        <w:tblW w:type="auto" w:w="0"/>
        <w:tblLayout w:type="fixed"/>
        <w:tblLook w:firstColumn="1" w:firstRow="1" w:lastColumn="0" w:lastRow="0" w:noHBand="0" w:noVBand="1" w:val="04A0"/>
        <w:bidiVisual w:val="1"/>
      </w:tblPr>
      <w:tblGrid>
        <w:gridCol w:w="2044"/>
        <w:gridCol w:w="2044"/>
        <w:gridCol w:w="2044"/>
        <w:gridCol w:w="2044"/>
        <w:gridCol w:w="2044"/>
        <w:gridCol w:w="2044"/>
        <w:gridCol w:w="2044"/>
      </w:tblGrid>
      <w:tr>
        <w:trPr>
          <w:tblHeader w:val="true"/>
        </w:trPr>
        <w:tc>
          <w:tcPr>
            <w:tcW w:type="dxa" w:w="652"/>
            <w:vAlign w:val="center"/>
            <w:shd w:fill="173F35"/>
            <w:tcMar>
              <w:top w:w="95" w:type="dxa"/>
              <w:start w:w="90" w:type="dxa"/>
              <w:bottom w:w="95" w:type="dxa"/>
              <w:end w:w="90" w:type="dxa"/>
            </w:tcMar>
            <w:tcBorders>
              <w:top w:val="single" w:sz="6" w:color="C8D2CD"/>
              <w:left w:val="single" w:sz="6" w:color="C8D2CD"/>
              <w:bottom w:val="single" w:sz="6" w:color="C8D2CD"/>
              <w:right w:val="single" w:sz="6" w:color="C8D2CD"/>
            </w:tcBorders>
          </w:tcPr>
          <w:p>
            <w:pPr>
              <w:spacing w:before="0" w:after="0" w:line="293" w:lineRule="auto"/>
              <w:jc w:val="center"/>
              <w:bidi w:val="1"/>
            </w:pPr>
            <w:r>
              <w:rPr>
                <w:rFonts w:ascii="Arial" w:hAnsi="Arial" w:cs="Arial"/>
                <w:b/>
                <w:color w:val="FFFFFF"/>
                <w:sz w:val="18"/>
                <w:rtl/>
              </w:rPr>
              <w:t>מספר</w:t>
            </w:r>
          </w:p>
        </w:tc>
        <w:tc>
          <w:tcPr>
            <w:tcW w:type="dxa" w:w="2268"/>
            <w:vAlign w:val="center"/>
            <w:shd w:fill="173F35"/>
            <w:tcMar>
              <w:top w:w="95" w:type="dxa"/>
              <w:start w:w="90" w:type="dxa"/>
              <w:bottom w:w="95" w:type="dxa"/>
              <w:end w:w="90" w:type="dxa"/>
            </w:tcMar>
            <w:tcBorders>
              <w:top w:val="single" w:sz="6" w:color="C8D2CD"/>
              <w:left w:val="single" w:sz="6" w:color="C8D2CD"/>
              <w:bottom w:val="single" w:sz="6" w:color="C8D2CD"/>
              <w:right w:val="single" w:sz="6" w:color="C8D2CD"/>
            </w:tcBorders>
          </w:tcPr>
          <w:p>
            <w:pPr>
              <w:spacing w:before="0" w:after="0" w:line="293" w:lineRule="auto"/>
              <w:jc w:val="center"/>
              <w:bidi w:val="1"/>
            </w:pPr>
            <w:r>
              <w:rPr>
                <w:rFonts w:ascii="Arial" w:hAnsi="Arial" w:cs="Arial"/>
                <w:b/>
                <w:color w:val="FFFFFF"/>
                <w:sz w:val="18"/>
                <w:rtl/>
              </w:rPr>
              <w:t>שם מלא</w:t>
            </w:r>
          </w:p>
        </w:tc>
        <w:tc>
          <w:tcPr>
            <w:tcW w:type="dxa" w:w="1843"/>
            <w:vAlign w:val="center"/>
            <w:shd w:fill="173F35"/>
            <w:tcMar>
              <w:top w:w="95" w:type="dxa"/>
              <w:start w:w="90" w:type="dxa"/>
              <w:bottom w:w="95" w:type="dxa"/>
              <w:end w:w="90" w:type="dxa"/>
            </w:tcMar>
            <w:tcBorders>
              <w:top w:val="single" w:sz="6" w:color="C8D2CD"/>
              <w:left w:val="single" w:sz="6" w:color="C8D2CD"/>
              <w:bottom w:val="single" w:sz="6" w:color="C8D2CD"/>
              <w:right w:val="single" w:sz="6" w:color="C8D2CD"/>
            </w:tcBorders>
          </w:tcPr>
          <w:p>
            <w:pPr>
              <w:spacing w:before="0" w:after="0" w:line="293" w:lineRule="auto"/>
              <w:jc w:val="center"/>
              <w:bidi w:val="1"/>
            </w:pPr>
            <w:r>
              <w:rPr>
                <w:rFonts w:ascii="Arial" w:hAnsi="Arial" w:cs="Arial"/>
                <w:b/>
                <w:color w:val="FFFFFF"/>
                <w:sz w:val="18"/>
                <w:rtl/>
              </w:rPr>
              <w:t>תושב או בעל נכס</w:t>
            </w:r>
          </w:p>
        </w:tc>
        <w:tc>
          <w:tcPr>
            <w:tcW w:type="dxa" w:w="2353"/>
            <w:vAlign w:val="center"/>
            <w:shd w:fill="173F35"/>
            <w:tcMar>
              <w:top w:w="95" w:type="dxa"/>
              <w:start w:w="90" w:type="dxa"/>
              <w:bottom w:w="95" w:type="dxa"/>
              <w:end w:w="90" w:type="dxa"/>
            </w:tcMar>
            <w:tcBorders>
              <w:top w:val="single" w:sz="6" w:color="C8D2CD"/>
              <w:left w:val="single" w:sz="6" w:color="C8D2CD"/>
              <w:bottom w:val="single" w:sz="6" w:color="C8D2CD"/>
              <w:right w:val="single" w:sz="6" w:color="C8D2CD"/>
            </w:tcBorders>
          </w:tcPr>
          <w:p>
            <w:pPr>
              <w:spacing w:before="0" w:after="0" w:line="293" w:lineRule="auto"/>
              <w:jc w:val="center"/>
              <w:bidi w:val="1"/>
            </w:pPr>
            <w:r>
              <w:rPr>
                <w:rFonts w:ascii="Arial" w:hAnsi="Arial" w:cs="Arial"/>
                <w:b/>
                <w:color w:val="FFFFFF"/>
                <w:sz w:val="18"/>
                <w:rtl/>
              </w:rPr>
              <w:t>כתובת או מספר נכס</w:t>
            </w:r>
          </w:p>
        </w:tc>
        <w:tc>
          <w:tcPr>
            <w:tcW w:type="dxa" w:w="1984"/>
            <w:vAlign w:val="center"/>
            <w:shd w:fill="173F35"/>
            <w:tcMar>
              <w:top w:w="95" w:type="dxa"/>
              <w:start w:w="90" w:type="dxa"/>
              <w:bottom w:w="95" w:type="dxa"/>
              <w:end w:w="90" w:type="dxa"/>
            </w:tcMar>
            <w:tcBorders>
              <w:top w:val="single" w:sz="6" w:color="C8D2CD"/>
              <w:left w:val="single" w:sz="6" w:color="C8D2CD"/>
              <w:bottom w:val="single" w:sz="6" w:color="C8D2CD"/>
              <w:right w:val="single" w:sz="6" w:color="C8D2CD"/>
            </w:tcBorders>
          </w:tcPr>
          <w:p>
            <w:pPr>
              <w:spacing w:before="0" w:after="0" w:line="293" w:lineRule="auto"/>
              <w:jc w:val="center"/>
              <w:bidi w:val="1"/>
            </w:pPr>
            <w:r>
              <w:rPr>
                <w:rFonts w:ascii="Arial" w:hAnsi="Arial" w:cs="Arial"/>
                <w:b/>
                <w:color w:val="FFFFFF"/>
                <w:sz w:val="18"/>
                <w:rtl/>
              </w:rPr>
              <w:t>טלפון</w:t>
            </w:r>
          </w:p>
        </w:tc>
        <w:tc>
          <w:tcPr>
            <w:tcW w:type="dxa" w:w="1531"/>
            <w:vAlign w:val="center"/>
            <w:shd w:fill="173F35"/>
            <w:tcMar>
              <w:top w:w="95" w:type="dxa"/>
              <w:start w:w="90" w:type="dxa"/>
              <w:bottom w:w="95" w:type="dxa"/>
              <w:end w:w="90" w:type="dxa"/>
            </w:tcMar>
            <w:tcBorders>
              <w:top w:val="single" w:sz="6" w:color="C8D2CD"/>
              <w:left w:val="single" w:sz="6" w:color="C8D2CD"/>
              <w:bottom w:val="single" w:sz="6" w:color="C8D2CD"/>
              <w:right w:val="single" w:sz="6" w:color="C8D2CD"/>
            </w:tcBorders>
          </w:tcPr>
          <w:p>
            <w:pPr>
              <w:spacing w:before="0" w:after="0" w:line="293" w:lineRule="auto"/>
              <w:jc w:val="center"/>
              <w:bidi w:val="1"/>
            </w:pPr>
            <w:r>
              <w:rPr>
                <w:rFonts w:ascii="Arial" w:hAnsi="Arial" w:cs="Arial"/>
                <w:b/>
                <w:color w:val="FFFFFF"/>
                <w:sz w:val="18"/>
                <w:rtl/>
              </w:rPr>
              <w:t>תאריך</w:t>
            </w:r>
          </w:p>
        </w:tc>
        <w:tc>
          <w:tcPr>
            <w:tcW w:type="dxa" w:w="2835"/>
            <w:vAlign w:val="center"/>
            <w:shd w:fill="173F35"/>
            <w:tcMar>
              <w:top w:w="95" w:type="dxa"/>
              <w:start w:w="90" w:type="dxa"/>
              <w:bottom w:w="95" w:type="dxa"/>
              <w:end w:w="90" w:type="dxa"/>
            </w:tcMar>
            <w:tcBorders>
              <w:top w:val="single" w:sz="6" w:color="C8D2CD"/>
              <w:left w:val="single" w:sz="6" w:color="C8D2CD"/>
              <w:bottom w:val="single" w:sz="6" w:color="C8D2CD"/>
              <w:right w:val="single" w:sz="6" w:color="C8D2CD"/>
            </w:tcBorders>
          </w:tcPr>
          <w:p>
            <w:pPr>
              <w:spacing w:before="0" w:after="0" w:line="293" w:lineRule="auto"/>
              <w:jc w:val="center"/>
              <w:bidi w:val="1"/>
            </w:pPr>
            <w:r>
              <w:rPr>
                <w:rFonts w:ascii="Arial" w:hAnsi="Arial" w:cs="Arial"/>
                <w:b/>
                <w:color w:val="FFFFFF"/>
                <w:sz w:val="18"/>
                <w:rtl/>
              </w:rPr>
              <w:t>חתימה</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1</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2</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3</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4</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5</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6</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7</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8</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9</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10</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11</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12</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13</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14</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15</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r>
    </w:tbl>
    <w:p>
      <w:r>
        <w:br w:type="page"/>
      </w:r>
    </w:p>
    <w:p>
      <w:pPr>
        <w:pStyle w:val="Heading1"/>
        <w:spacing w:before="200" w:after="100" w:line="293" w:lineRule="auto"/>
        <w:jc w:val="right"/>
        <w:keepNext/>
        <w:bidi w:val="1"/>
      </w:pPr>
      <w:r>
        <w:rPr>
          <w:rFonts w:ascii="Arial" w:hAnsi="Arial" w:cs="Arial"/>
          <w:b/>
          <w:color w:val="000000"/>
          <w:sz w:val="28"/>
          <w:rtl/>
        </w:rPr>
        <w:t>נספח ב רשימת החותמים המשך</w:t>
      </w:r>
    </w:p>
    <w:tbl>
      <w:tblPr>
        <w:tblW w:type="auto" w:w="0"/>
        <w:tblLayout w:type="fixed"/>
        <w:tblLook w:firstColumn="1" w:firstRow="1" w:lastColumn="0" w:lastRow="0" w:noHBand="0" w:noVBand="1" w:val="04A0"/>
        <w:bidiVisual w:val="1"/>
      </w:tblPr>
      <w:tblGrid>
        <w:gridCol w:w="2044"/>
        <w:gridCol w:w="2044"/>
        <w:gridCol w:w="2044"/>
        <w:gridCol w:w="2044"/>
        <w:gridCol w:w="2044"/>
        <w:gridCol w:w="2044"/>
        <w:gridCol w:w="2044"/>
      </w:tblGrid>
      <w:tr>
        <w:trPr>
          <w:tblHeader w:val="true"/>
        </w:trPr>
        <w:tc>
          <w:tcPr>
            <w:tcW w:type="dxa" w:w="652"/>
            <w:vAlign w:val="center"/>
            <w:shd w:fill="173F35"/>
            <w:tcMar>
              <w:top w:w="95" w:type="dxa"/>
              <w:start w:w="90" w:type="dxa"/>
              <w:bottom w:w="95" w:type="dxa"/>
              <w:end w:w="90" w:type="dxa"/>
            </w:tcMar>
            <w:tcBorders>
              <w:top w:val="single" w:sz="6" w:color="C8D2CD"/>
              <w:left w:val="single" w:sz="6" w:color="C8D2CD"/>
              <w:bottom w:val="single" w:sz="6" w:color="C8D2CD"/>
              <w:right w:val="single" w:sz="6" w:color="C8D2CD"/>
            </w:tcBorders>
          </w:tcPr>
          <w:p>
            <w:pPr>
              <w:spacing w:before="0" w:after="0" w:line="293" w:lineRule="auto"/>
              <w:jc w:val="center"/>
              <w:bidi w:val="1"/>
            </w:pPr>
            <w:r>
              <w:rPr>
                <w:rFonts w:ascii="Arial" w:hAnsi="Arial" w:cs="Arial"/>
                <w:b/>
                <w:color w:val="FFFFFF"/>
                <w:sz w:val="18"/>
                <w:rtl/>
              </w:rPr>
              <w:t>מספר</w:t>
            </w:r>
          </w:p>
        </w:tc>
        <w:tc>
          <w:tcPr>
            <w:tcW w:type="dxa" w:w="2268"/>
            <w:vAlign w:val="center"/>
            <w:shd w:fill="173F35"/>
            <w:tcMar>
              <w:top w:w="95" w:type="dxa"/>
              <w:start w:w="90" w:type="dxa"/>
              <w:bottom w:w="95" w:type="dxa"/>
              <w:end w:w="90" w:type="dxa"/>
            </w:tcMar>
            <w:tcBorders>
              <w:top w:val="single" w:sz="6" w:color="C8D2CD"/>
              <w:left w:val="single" w:sz="6" w:color="C8D2CD"/>
              <w:bottom w:val="single" w:sz="6" w:color="C8D2CD"/>
              <w:right w:val="single" w:sz="6" w:color="C8D2CD"/>
            </w:tcBorders>
          </w:tcPr>
          <w:p>
            <w:pPr>
              <w:spacing w:before="0" w:after="0" w:line="293" w:lineRule="auto"/>
              <w:jc w:val="center"/>
              <w:bidi w:val="1"/>
            </w:pPr>
            <w:r>
              <w:rPr>
                <w:rFonts w:ascii="Arial" w:hAnsi="Arial" w:cs="Arial"/>
                <w:b/>
                <w:color w:val="FFFFFF"/>
                <w:sz w:val="18"/>
                <w:rtl/>
              </w:rPr>
              <w:t>שם מלא</w:t>
            </w:r>
          </w:p>
        </w:tc>
        <w:tc>
          <w:tcPr>
            <w:tcW w:type="dxa" w:w="1843"/>
            <w:vAlign w:val="center"/>
            <w:shd w:fill="173F35"/>
            <w:tcMar>
              <w:top w:w="95" w:type="dxa"/>
              <w:start w:w="90" w:type="dxa"/>
              <w:bottom w:w="95" w:type="dxa"/>
              <w:end w:w="90" w:type="dxa"/>
            </w:tcMar>
            <w:tcBorders>
              <w:top w:val="single" w:sz="6" w:color="C8D2CD"/>
              <w:left w:val="single" w:sz="6" w:color="C8D2CD"/>
              <w:bottom w:val="single" w:sz="6" w:color="C8D2CD"/>
              <w:right w:val="single" w:sz="6" w:color="C8D2CD"/>
            </w:tcBorders>
          </w:tcPr>
          <w:p>
            <w:pPr>
              <w:spacing w:before="0" w:after="0" w:line="293" w:lineRule="auto"/>
              <w:jc w:val="center"/>
              <w:bidi w:val="1"/>
            </w:pPr>
            <w:r>
              <w:rPr>
                <w:rFonts w:ascii="Arial" w:hAnsi="Arial" w:cs="Arial"/>
                <w:b/>
                <w:color w:val="FFFFFF"/>
                <w:sz w:val="18"/>
                <w:rtl/>
              </w:rPr>
              <w:t>תושב או בעל נכס</w:t>
            </w:r>
          </w:p>
        </w:tc>
        <w:tc>
          <w:tcPr>
            <w:tcW w:type="dxa" w:w="2353"/>
            <w:vAlign w:val="center"/>
            <w:shd w:fill="173F35"/>
            <w:tcMar>
              <w:top w:w="95" w:type="dxa"/>
              <w:start w:w="90" w:type="dxa"/>
              <w:bottom w:w="95" w:type="dxa"/>
              <w:end w:w="90" w:type="dxa"/>
            </w:tcMar>
            <w:tcBorders>
              <w:top w:val="single" w:sz="6" w:color="C8D2CD"/>
              <w:left w:val="single" w:sz="6" w:color="C8D2CD"/>
              <w:bottom w:val="single" w:sz="6" w:color="C8D2CD"/>
              <w:right w:val="single" w:sz="6" w:color="C8D2CD"/>
            </w:tcBorders>
          </w:tcPr>
          <w:p>
            <w:pPr>
              <w:spacing w:before="0" w:after="0" w:line="293" w:lineRule="auto"/>
              <w:jc w:val="center"/>
              <w:bidi w:val="1"/>
            </w:pPr>
            <w:r>
              <w:rPr>
                <w:rFonts w:ascii="Arial" w:hAnsi="Arial" w:cs="Arial"/>
                <w:b/>
                <w:color w:val="FFFFFF"/>
                <w:sz w:val="18"/>
                <w:rtl/>
              </w:rPr>
              <w:t>כתובת או מספר נכס</w:t>
            </w:r>
          </w:p>
        </w:tc>
        <w:tc>
          <w:tcPr>
            <w:tcW w:type="dxa" w:w="1984"/>
            <w:vAlign w:val="center"/>
            <w:shd w:fill="173F35"/>
            <w:tcMar>
              <w:top w:w="95" w:type="dxa"/>
              <w:start w:w="90" w:type="dxa"/>
              <w:bottom w:w="95" w:type="dxa"/>
              <w:end w:w="90" w:type="dxa"/>
            </w:tcMar>
            <w:tcBorders>
              <w:top w:val="single" w:sz="6" w:color="C8D2CD"/>
              <w:left w:val="single" w:sz="6" w:color="C8D2CD"/>
              <w:bottom w:val="single" w:sz="6" w:color="C8D2CD"/>
              <w:right w:val="single" w:sz="6" w:color="C8D2CD"/>
            </w:tcBorders>
          </w:tcPr>
          <w:p>
            <w:pPr>
              <w:spacing w:before="0" w:after="0" w:line="293" w:lineRule="auto"/>
              <w:jc w:val="center"/>
              <w:bidi w:val="1"/>
            </w:pPr>
            <w:r>
              <w:rPr>
                <w:rFonts w:ascii="Arial" w:hAnsi="Arial" w:cs="Arial"/>
                <w:b/>
                <w:color w:val="FFFFFF"/>
                <w:sz w:val="18"/>
                <w:rtl/>
              </w:rPr>
              <w:t>טלפון</w:t>
            </w:r>
          </w:p>
        </w:tc>
        <w:tc>
          <w:tcPr>
            <w:tcW w:type="dxa" w:w="1531"/>
            <w:vAlign w:val="center"/>
            <w:shd w:fill="173F35"/>
            <w:tcMar>
              <w:top w:w="95" w:type="dxa"/>
              <w:start w:w="90" w:type="dxa"/>
              <w:bottom w:w="95" w:type="dxa"/>
              <w:end w:w="90" w:type="dxa"/>
            </w:tcMar>
            <w:tcBorders>
              <w:top w:val="single" w:sz="6" w:color="C8D2CD"/>
              <w:left w:val="single" w:sz="6" w:color="C8D2CD"/>
              <w:bottom w:val="single" w:sz="6" w:color="C8D2CD"/>
              <w:right w:val="single" w:sz="6" w:color="C8D2CD"/>
            </w:tcBorders>
          </w:tcPr>
          <w:p>
            <w:pPr>
              <w:spacing w:before="0" w:after="0" w:line="293" w:lineRule="auto"/>
              <w:jc w:val="center"/>
              <w:bidi w:val="1"/>
            </w:pPr>
            <w:r>
              <w:rPr>
                <w:rFonts w:ascii="Arial" w:hAnsi="Arial" w:cs="Arial"/>
                <w:b/>
                <w:color w:val="FFFFFF"/>
                <w:sz w:val="18"/>
                <w:rtl/>
              </w:rPr>
              <w:t>תאריך</w:t>
            </w:r>
          </w:p>
        </w:tc>
        <w:tc>
          <w:tcPr>
            <w:tcW w:type="dxa" w:w="2835"/>
            <w:vAlign w:val="center"/>
            <w:shd w:fill="173F35"/>
            <w:tcMar>
              <w:top w:w="95" w:type="dxa"/>
              <w:start w:w="90" w:type="dxa"/>
              <w:bottom w:w="95" w:type="dxa"/>
              <w:end w:w="90" w:type="dxa"/>
            </w:tcMar>
            <w:tcBorders>
              <w:top w:val="single" w:sz="6" w:color="C8D2CD"/>
              <w:left w:val="single" w:sz="6" w:color="C8D2CD"/>
              <w:bottom w:val="single" w:sz="6" w:color="C8D2CD"/>
              <w:right w:val="single" w:sz="6" w:color="C8D2CD"/>
            </w:tcBorders>
          </w:tcPr>
          <w:p>
            <w:pPr>
              <w:spacing w:before="0" w:after="0" w:line="293" w:lineRule="auto"/>
              <w:jc w:val="center"/>
              <w:bidi w:val="1"/>
            </w:pPr>
            <w:r>
              <w:rPr>
                <w:rFonts w:ascii="Arial" w:hAnsi="Arial" w:cs="Arial"/>
                <w:b/>
                <w:color w:val="FFFFFF"/>
                <w:sz w:val="18"/>
                <w:rtl/>
              </w:rPr>
              <w:t>חתימה</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16</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17</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18</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19</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20</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21</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22</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23</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24</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25</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26</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27</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28</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29</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r>
    </w:tbl>
    <w:p>
      <w:r>
        <w:br w:type="page"/>
      </w:r>
    </w:p>
    <w:p>
      <w:pPr>
        <w:pStyle w:val="Heading1"/>
        <w:spacing w:before="200" w:after="100" w:line="293" w:lineRule="auto"/>
        <w:jc w:val="right"/>
        <w:keepNext/>
        <w:bidi w:val="1"/>
      </w:pPr>
      <w:r>
        <w:rPr>
          <w:rFonts w:ascii="Arial" w:hAnsi="Arial" w:cs="Arial"/>
          <w:b/>
          <w:color w:val="000000"/>
          <w:sz w:val="28"/>
          <w:rtl/>
        </w:rPr>
        <w:t>נספח ב רשימת החותמים המשך</w:t>
      </w:r>
    </w:p>
    <w:tbl>
      <w:tblPr>
        <w:tblW w:type="auto" w:w="0"/>
        <w:tblLayout w:type="fixed"/>
        <w:tblLook w:firstColumn="1" w:firstRow="1" w:lastColumn="0" w:lastRow="0" w:noHBand="0" w:noVBand="1" w:val="04A0"/>
        <w:bidiVisual w:val="1"/>
      </w:tblPr>
      <w:tblGrid>
        <w:gridCol w:w="2044"/>
        <w:gridCol w:w="2044"/>
        <w:gridCol w:w="2044"/>
        <w:gridCol w:w="2044"/>
        <w:gridCol w:w="2044"/>
        <w:gridCol w:w="2044"/>
        <w:gridCol w:w="2044"/>
      </w:tblGrid>
      <w:tr>
        <w:trPr>
          <w:tblHeader w:val="true"/>
        </w:trPr>
        <w:tc>
          <w:tcPr>
            <w:tcW w:type="dxa" w:w="652"/>
            <w:vAlign w:val="center"/>
            <w:shd w:fill="173F35"/>
            <w:tcMar>
              <w:top w:w="95" w:type="dxa"/>
              <w:start w:w="90" w:type="dxa"/>
              <w:bottom w:w="95" w:type="dxa"/>
              <w:end w:w="90" w:type="dxa"/>
            </w:tcMar>
            <w:tcBorders>
              <w:top w:val="single" w:sz="6" w:color="C8D2CD"/>
              <w:left w:val="single" w:sz="6" w:color="C8D2CD"/>
              <w:bottom w:val="single" w:sz="6" w:color="C8D2CD"/>
              <w:right w:val="single" w:sz="6" w:color="C8D2CD"/>
            </w:tcBorders>
          </w:tcPr>
          <w:p>
            <w:pPr>
              <w:spacing w:before="0" w:after="0" w:line="293" w:lineRule="auto"/>
              <w:jc w:val="center"/>
              <w:bidi w:val="1"/>
            </w:pPr>
            <w:r>
              <w:rPr>
                <w:rFonts w:ascii="Arial" w:hAnsi="Arial" w:cs="Arial"/>
                <w:b/>
                <w:color w:val="FFFFFF"/>
                <w:sz w:val="18"/>
                <w:rtl/>
              </w:rPr>
              <w:t>מספר</w:t>
            </w:r>
          </w:p>
        </w:tc>
        <w:tc>
          <w:tcPr>
            <w:tcW w:type="dxa" w:w="2268"/>
            <w:vAlign w:val="center"/>
            <w:shd w:fill="173F35"/>
            <w:tcMar>
              <w:top w:w="95" w:type="dxa"/>
              <w:start w:w="90" w:type="dxa"/>
              <w:bottom w:w="95" w:type="dxa"/>
              <w:end w:w="90" w:type="dxa"/>
            </w:tcMar>
            <w:tcBorders>
              <w:top w:val="single" w:sz="6" w:color="C8D2CD"/>
              <w:left w:val="single" w:sz="6" w:color="C8D2CD"/>
              <w:bottom w:val="single" w:sz="6" w:color="C8D2CD"/>
              <w:right w:val="single" w:sz="6" w:color="C8D2CD"/>
            </w:tcBorders>
          </w:tcPr>
          <w:p>
            <w:pPr>
              <w:spacing w:before="0" w:after="0" w:line="293" w:lineRule="auto"/>
              <w:jc w:val="center"/>
              <w:bidi w:val="1"/>
            </w:pPr>
            <w:r>
              <w:rPr>
                <w:rFonts w:ascii="Arial" w:hAnsi="Arial" w:cs="Arial"/>
                <w:b/>
                <w:color w:val="FFFFFF"/>
                <w:sz w:val="18"/>
                <w:rtl/>
              </w:rPr>
              <w:t>שם מלא</w:t>
            </w:r>
          </w:p>
        </w:tc>
        <w:tc>
          <w:tcPr>
            <w:tcW w:type="dxa" w:w="1843"/>
            <w:vAlign w:val="center"/>
            <w:shd w:fill="173F35"/>
            <w:tcMar>
              <w:top w:w="95" w:type="dxa"/>
              <w:start w:w="90" w:type="dxa"/>
              <w:bottom w:w="95" w:type="dxa"/>
              <w:end w:w="90" w:type="dxa"/>
            </w:tcMar>
            <w:tcBorders>
              <w:top w:val="single" w:sz="6" w:color="C8D2CD"/>
              <w:left w:val="single" w:sz="6" w:color="C8D2CD"/>
              <w:bottom w:val="single" w:sz="6" w:color="C8D2CD"/>
              <w:right w:val="single" w:sz="6" w:color="C8D2CD"/>
            </w:tcBorders>
          </w:tcPr>
          <w:p>
            <w:pPr>
              <w:spacing w:before="0" w:after="0" w:line="293" w:lineRule="auto"/>
              <w:jc w:val="center"/>
              <w:bidi w:val="1"/>
            </w:pPr>
            <w:r>
              <w:rPr>
                <w:rFonts w:ascii="Arial" w:hAnsi="Arial" w:cs="Arial"/>
                <w:b/>
                <w:color w:val="FFFFFF"/>
                <w:sz w:val="18"/>
                <w:rtl/>
              </w:rPr>
              <w:t>תושב או בעל נכס</w:t>
            </w:r>
          </w:p>
        </w:tc>
        <w:tc>
          <w:tcPr>
            <w:tcW w:type="dxa" w:w="2353"/>
            <w:vAlign w:val="center"/>
            <w:shd w:fill="173F35"/>
            <w:tcMar>
              <w:top w:w="95" w:type="dxa"/>
              <w:start w:w="90" w:type="dxa"/>
              <w:bottom w:w="95" w:type="dxa"/>
              <w:end w:w="90" w:type="dxa"/>
            </w:tcMar>
            <w:tcBorders>
              <w:top w:val="single" w:sz="6" w:color="C8D2CD"/>
              <w:left w:val="single" w:sz="6" w:color="C8D2CD"/>
              <w:bottom w:val="single" w:sz="6" w:color="C8D2CD"/>
              <w:right w:val="single" w:sz="6" w:color="C8D2CD"/>
            </w:tcBorders>
          </w:tcPr>
          <w:p>
            <w:pPr>
              <w:spacing w:before="0" w:after="0" w:line="293" w:lineRule="auto"/>
              <w:jc w:val="center"/>
              <w:bidi w:val="1"/>
            </w:pPr>
            <w:r>
              <w:rPr>
                <w:rFonts w:ascii="Arial" w:hAnsi="Arial" w:cs="Arial"/>
                <w:b/>
                <w:color w:val="FFFFFF"/>
                <w:sz w:val="18"/>
                <w:rtl/>
              </w:rPr>
              <w:t>כתובת או מספר נכס</w:t>
            </w:r>
          </w:p>
        </w:tc>
        <w:tc>
          <w:tcPr>
            <w:tcW w:type="dxa" w:w="1984"/>
            <w:vAlign w:val="center"/>
            <w:shd w:fill="173F35"/>
            <w:tcMar>
              <w:top w:w="95" w:type="dxa"/>
              <w:start w:w="90" w:type="dxa"/>
              <w:bottom w:w="95" w:type="dxa"/>
              <w:end w:w="90" w:type="dxa"/>
            </w:tcMar>
            <w:tcBorders>
              <w:top w:val="single" w:sz="6" w:color="C8D2CD"/>
              <w:left w:val="single" w:sz="6" w:color="C8D2CD"/>
              <w:bottom w:val="single" w:sz="6" w:color="C8D2CD"/>
              <w:right w:val="single" w:sz="6" w:color="C8D2CD"/>
            </w:tcBorders>
          </w:tcPr>
          <w:p>
            <w:pPr>
              <w:spacing w:before="0" w:after="0" w:line="293" w:lineRule="auto"/>
              <w:jc w:val="center"/>
              <w:bidi w:val="1"/>
            </w:pPr>
            <w:r>
              <w:rPr>
                <w:rFonts w:ascii="Arial" w:hAnsi="Arial" w:cs="Arial"/>
                <w:b/>
                <w:color w:val="FFFFFF"/>
                <w:sz w:val="18"/>
                <w:rtl/>
              </w:rPr>
              <w:t>טלפון</w:t>
            </w:r>
          </w:p>
        </w:tc>
        <w:tc>
          <w:tcPr>
            <w:tcW w:type="dxa" w:w="1531"/>
            <w:vAlign w:val="center"/>
            <w:shd w:fill="173F35"/>
            <w:tcMar>
              <w:top w:w="95" w:type="dxa"/>
              <w:start w:w="90" w:type="dxa"/>
              <w:bottom w:w="95" w:type="dxa"/>
              <w:end w:w="90" w:type="dxa"/>
            </w:tcMar>
            <w:tcBorders>
              <w:top w:val="single" w:sz="6" w:color="C8D2CD"/>
              <w:left w:val="single" w:sz="6" w:color="C8D2CD"/>
              <w:bottom w:val="single" w:sz="6" w:color="C8D2CD"/>
              <w:right w:val="single" w:sz="6" w:color="C8D2CD"/>
            </w:tcBorders>
          </w:tcPr>
          <w:p>
            <w:pPr>
              <w:spacing w:before="0" w:after="0" w:line="293" w:lineRule="auto"/>
              <w:jc w:val="center"/>
              <w:bidi w:val="1"/>
            </w:pPr>
            <w:r>
              <w:rPr>
                <w:rFonts w:ascii="Arial" w:hAnsi="Arial" w:cs="Arial"/>
                <w:b/>
                <w:color w:val="FFFFFF"/>
                <w:sz w:val="18"/>
                <w:rtl/>
              </w:rPr>
              <w:t>תאריך</w:t>
            </w:r>
          </w:p>
        </w:tc>
        <w:tc>
          <w:tcPr>
            <w:tcW w:type="dxa" w:w="2835"/>
            <w:vAlign w:val="center"/>
            <w:shd w:fill="173F35"/>
            <w:tcMar>
              <w:top w:w="95" w:type="dxa"/>
              <w:start w:w="90" w:type="dxa"/>
              <w:bottom w:w="95" w:type="dxa"/>
              <w:end w:w="90" w:type="dxa"/>
            </w:tcMar>
            <w:tcBorders>
              <w:top w:val="single" w:sz="6" w:color="C8D2CD"/>
              <w:left w:val="single" w:sz="6" w:color="C8D2CD"/>
              <w:bottom w:val="single" w:sz="6" w:color="C8D2CD"/>
              <w:right w:val="single" w:sz="6" w:color="C8D2CD"/>
            </w:tcBorders>
          </w:tcPr>
          <w:p>
            <w:pPr>
              <w:spacing w:before="0" w:after="0" w:line="293" w:lineRule="auto"/>
              <w:jc w:val="center"/>
              <w:bidi w:val="1"/>
            </w:pPr>
            <w:r>
              <w:rPr>
                <w:rFonts w:ascii="Arial" w:hAnsi="Arial" w:cs="Arial"/>
                <w:b/>
                <w:color w:val="FFFFFF"/>
                <w:sz w:val="18"/>
                <w:rtl/>
              </w:rPr>
              <w:t>חתימה</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30</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31</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32</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33</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34</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35</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36</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37</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38</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39</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40</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41</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42</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shd w:fill="F5F7F6"/>
          </w:tcPr>
          <w:p>
            <w:pPr>
              <w:spacing w:before="0" w:after="0" w:line="293" w:lineRule="auto"/>
              <w:jc w:val="center"/>
              <w:bidi w:val="1"/>
            </w:pPr>
            <w:r>
              <w:rPr>
                <w:rFonts w:ascii="Arial" w:hAnsi="Arial" w:cs="Arial"/>
                <w:color w:val="000000"/>
                <w:sz w:val="18"/>
                <w:rtl/>
              </w:rPr>
              <w:t xml:space="preserve"> </w:t>
            </w:r>
          </w:p>
        </w:tc>
      </w:tr>
      <w:tr>
        <w:trPr>
          <w:cantSplit/>
        </w:trPr>
        <w:tc>
          <w:tcPr>
            <w:tcW w:type="dxa" w:w="652"/>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43</w:t>
            </w:r>
          </w:p>
        </w:tc>
        <w:tc>
          <w:tcPr>
            <w:tcW w:type="dxa" w:w="2268"/>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84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353"/>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984"/>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1531"/>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c>
          <w:tcPr>
            <w:tcW w:type="dxa" w:w="2835"/>
            <w:vAlign w:val="center"/>
            <w:tcMar>
              <w:top w:w="110" w:type="dxa"/>
              <w:start w:w="85" w:type="dxa"/>
              <w:bottom w:w="110" w:type="dxa"/>
              <w:end w:w="85" w:type="dxa"/>
            </w:tcMar>
            <w:tcBorders>
              <w:top w:val="single" w:sz="5" w:color="D9D9D9"/>
              <w:left w:val="single" w:sz="5" w:color="D9D9D9"/>
              <w:bottom w:val="single" w:sz="5" w:color="D9D9D9"/>
              <w:right w:val="single" w:sz="5" w:color="D9D9D9"/>
            </w:tcBorders>
          </w:tcPr>
          <w:p>
            <w:pPr>
              <w:spacing w:before="0" w:after="0" w:line="293" w:lineRule="auto"/>
              <w:jc w:val="center"/>
              <w:bidi w:val="1"/>
            </w:pPr>
            <w:r>
              <w:rPr>
                <w:rFonts w:ascii="Arial" w:hAnsi="Arial" w:cs="Arial"/>
                <w:color w:val="000000"/>
                <w:sz w:val="18"/>
                <w:rtl/>
              </w:rPr>
              <w:t xml:space="preserve"> </w:t>
            </w:r>
          </w:p>
        </w:tc>
      </w:tr>
    </w:tbl>
    <w:sectPr w:rsidR="00FC693F" w:rsidRPr="0006063C" w:rsidSect="00034616">
      <w:footerReference w:type="default" r:id="rId11"/>
      <w:pgSz w:w="15840" w:h="12240" w:orient="landscape"/>
      <w:pgMar w:top="794" w:right="765" w:bottom="794" w:left="76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s="Arial"/>
        <w:color w:val="536B65"/>
        <w:sz w:val="18"/>
        <w:rtl/>
      </w:rP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s="Arial"/>
        <w:color w:val="536B65"/>
        <w:sz w:val="18"/>
        <w:rtl/>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93" w:lineRule="auto"/>
    </w:pPr>
    <w:rPr>
      <w:rFonts w:ascii="Arial" w:hAnsi="Arial" w:cs="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s="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פנייה דחופה לטיפול במפגע בטיחותי חמור בדרך בשכונת צופים צפון</dc:title>
  <dc:subject>בקשה לבדיקה מקצועית ולטיפול בקטע דרך משובש</dc:subject>
  <dc:creator>תושבים ובעלי נכסים בצופים צפון</dc:creator>
  <cp:keywords>צופים צפון, בטיחות בדרכים, מפגע, מועצה אזורית שומרון</cp:keywords>
  <dc:description>generated by python-docx</dc:description>
  <cp:lastModifiedBy/>
  <cp:revision>1</cp:revision>
  <dcterms:created xsi:type="dcterms:W3CDTF">2013-12-23T23:15:00Z</dcterms:created>
  <dcterms:modified xsi:type="dcterms:W3CDTF">2013-12-23T23:15:00Z</dcterms:modified>
  <cp:category/>
</cp:coreProperties>
</file>